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hAnsi="宋体" w:cs="宋体"/>
          <w:color w:val="000000" w:themeColor="text1"/>
          <w:sz w:val="24"/>
          <w:szCs w:val="24"/>
          <w:u w:val="single"/>
          <w14:textFill>
            <w14:solidFill>
              <w14:schemeClr w14:val="tx1"/>
            </w14:solidFill>
          </w14:textFill>
        </w:rPr>
        <w:t>第134届广交会租车项目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TZhMGI1ZjAyZTU2M2JmYmRiOThkZjcxZmZkZGMifQ=="/>
  </w:docVars>
  <w:rsids>
    <w:rsidRoot w:val="776D2B88"/>
    <w:rsid w:val="776D2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2023-09-15T10:36:00Z</dcterms:created>
  <dc:creator>cjy</dc:creator>
  <cp:lastModifiedBy>cjy</cp:lastModifiedBy>
  <dcterms:modified xsi:type="dcterms:W3CDTF">2023-09-15T10:36:38Z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A839E970FC954D07A16609A9CB0795C3_11</vt:lpwstr>
  </property>
</Properties>
</file>